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2482" w14:textId="77777777" w:rsidR="003E7EF6" w:rsidRPr="002B074F" w:rsidRDefault="003E7EF6" w:rsidP="002B074F">
      <w:pPr>
        <w:pStyle w:val="GvdeMetni"/>
        <w:spacing w:line="360" w:lineRule="auto"/>
        <w:ind w:left="103"/>
        <w:rPr>
          <w:b w:val="0"/>
          <w:sz w:val="22"/>
          <w:szCs w:val="22"/>
          <w:lang w:val="en-US"/>
        </w:rPr>
      </w:pPr>
      <w:r w:rsidRPr="002B074F">
        <w:rPr>
          <w:b w:val="0"/>
          <w:noProof/>
          <w:sz w:val="22"/>
          <w:szCs w:val="22"/>
          <w:lang w:val="en-US"/>
        </w:rPr>
        <mc:AlternateContent>
          <mc:Choice Requires="wps">
            <w:drawing>
              <wp:inline distT="0" distB="0" distL="0" distR="0" wp14:anchorId="4133B8EE" wp14:editId="784A4E23">
                <wp:extent cx="6322695" cy="1201420"/>
                <wp:effectExtent l="10160" t="7620" r="10795" b="1016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201420"/>
                        </a:xfrm>
                        <a:prstGeom prst="rect">
                          <a:avLst/>
                        </a:prstGeom>
                        <a:solidFill>
                          <a:srgbClr val="8063A1"/>
                        </a:solidFill>
                        <a:ln w="6097">
                          <a:solidFill>
                            <a:srgbClr val="000000"/>
                          </a:solidFill>
                          <a:miter lim="800000"/>
                          <a:headEnd/>
                          <a:tailEnd/>
                        </a:ln>
                      </wps:spPr>
                      <wps:txbx>
                        <w:txbxContent>
                          <w:p w14:paraId="4ED11A4F" w14:textId="4A7B23D9" w:rsidR="003E7EF6" w:rsidRDefault="003E7EF6" w:rsidP="003E7EF6">
                            <w:pPr>
                              <w:pStyle w:val="GvdeMetni"/>
                              <w:spacing w:before="1"/>
                              <w:ind w:right="1324"/>
                              <w:jc w:val="center"/>
                            </w:pPr>
                            <w:r>
                              <w:t xml:space="preserve">      </w:t>
                            </w:r>
                            <w:r w:rsidR="004824B1">
                              <w:t>NEUROSCIENCE</w:t>
                            </w:r>
                          </w:p>
                          <w:p w14:paraId="46EB204A" w14:textId="1E0441DF" w:rsidR="003E7EF6" w:rsidRDefault="003E7EF6" w:rsidP="003E7EF6">
                            <w:pPr>
                              <w:pStyle w:val="GvdeMetni"/>
                              <w:spacing w:before="1"/>
                              <w:ind w:right="1324"/>
                              <w:jc w:val="center"/>
                            </w:pPr>
                            <w:r>
                              <w:t xml:space="preserve">      (PHASE 4)</w:t>
                            </w:r>
                          </w:p>
                        </w:txbxContent>
                      </wps:txbx>
                      <wps:bodyPr rot="0" vert="horz" wrap="square" lIns="0" tIns="0" rIns="0" bIns="0" anchor="t" anchorCtr="0" upright="1">
                        <a:noAutofit/>
                      </wps:bodyPr>
                    </wps:wsp>
                  </a:graphicData>
                </a:graphic>
              </wp:inline>
            </w:drawing>
          </mc:Choice>
          <mc:Fallback>
            <w:pict>
              <v:shape w14:anchorId="4133B8EE" id="Metin Kutusu 5" o:spid="_x0000_s1027" type="#_x0000_t202" style="width:497.85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" fillcolor="#8063a1" strokeweight=".16936mm">
                <v:textbox inset="0,0,0,0">
                  <w:txbxContent>
                    <w:p w14:paraId="4ED11A4F" w14:textId="4A7B23D9" w:rsidR="003E7EF6" w:rsidRDefault="003E7EF6" w:rsidP="003E7EF6">
                      <w:pPr>
                        <w:pStyle w:val="GvdeMetni"/>
                        <w:spacing w:before="1"/>
                        <w:ind w:right="1324"/>
                        <w:jc w:val="center"/>
                      </w:pPr>
                      <w:r>
                        <w:t xml:space="preserve">      </w:t>
                      </w:r>
                      <w:r w:rsidR="004824B1">
                        <w:t>NEUROSCIENCE</w:t>
                      </w:r>
                    </w:p>
                    <w:p w14:paraId="46EB204A" w14:textId="1E0441DF" w:rsidR="003E7EF6" w:rsidRDefault="003E7EF6" w:rsidP="003E7EF6">
                      <w:pPr>
                        <w:pStyle w:val="GvdeMetni"/>
                        <w:spacing w:before="1"/>
                        <w:ind w:right="1324"/>
                        <w:jc w:val="center"/>
                      </w:pPr>
                      <w:r>
                        <w:t xml:space="preserve">      (PHASE 4)</w:t>
                      </w:r>
                    </w:p>
                  </w:txbxContent>
                </v:textbox>
                <w10:anchorlock/>
              </v:shape>
            </w:pict>
          </mc:Fallback>
        </mc:AlternateContent>
      </w:r>
    </w:p>
    <w:p w14:paraId="6097CA4A" w14:textId="77777777" w:rsidR="003E7EF6" w:rsidRPr="002B074F" w:rsidRDefault="003E7EF6" w:rsidP="002B074F">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4824B1" w:rsidRPr="002B074F" w14:paraId="0B6790DE" w14:textId="77777777" w:rsidTr="007D0B3E">
        <w:trPr>
          <w:trHeight w:val="479"/>
        </w:trPr>
        <w:tc>
          <w:tcPr>
            <w:tcW w:w="9997" w:type="dxa"/>
            <w:gridSpan w:val="2"/>
            <w:shd w:val="clear" w:color="auto" w:fill="94B3D6"/>
          </w:tcPr>
          <w:p w14:paraId="35A16334" w14:textId="16E61746" w:rsidR="004824B1" w:rsidRPr="002B074F" w:rsidRDefault="004824B1" w:rsidP="002B074F">
            <w:pPr>
              <w:pStyle w:val="TableParagraph"/>
              <w:spacing w:line="360" w:lineRule="auto"/>
              <w:ind w:right="1608"/>
              <w:rPr>
                <w:b/>
                <w:lang w:val="en-US"/>
              </w:rPr>
            </w:pPr>
            <w:r w:rsidRPr="002B074F">
              <w:rPr>
                <w:b/>
                <w:lang w:val="en-US"/>
              </w:rPr>
              <w:t>LEARNING AIM(S)</w:t>
            </w:r>
          </w:p>
        </w:tc>
      </w:tr>
      <w:tr w:rsidR="004824B1" w:rsidRPr="002B074F" w14:paraId="41C4F0DA" w14:textId="77777777" w:rsidTr="007D0B3E">
        <w:trPr>
          <w:trHeight w:val="803"/>
        </w:trPr>
        <w:tc>
          <w:tcPr>
            <w:tcW w:w="660" w:type="dxa"/>
          </w:tcPr>
          <w:p w14:paraId="1F2D595C" w14:textId="77777777" w:rsidR="004824B1" w:rsidRPr="002B074F" w:rsidRDefault="004824B1" w:rsidP="002B074F">
            <w:pPr>
              <w:pStyle w:val="TableParagraph"/>
              <w:spacing w:line="360" w:lineRule="auto"/>
              <w:ind w:left="107"/>
              <w:rPr>
                <w:b/>
                <w:lang w:val="en-US"/>
              </w:rPr>
            </w:pPr>
            <w:r w:rsidRPr="002B074F">
              <w:rPr>
                <w:b/>
                <w:lang w:val="en-US"/>
              </w:rPr>
              <w:t>1</w:t>
            </w:r>
          </w:p>
        </w:tc>
        <w:tc>
          <w:tcPr>
            <w:tcW w:w="9337" w:type="dxa"/>
          </w:tcPr>
          <w:p w14:paraId="29C9E78E" w14:textId="506D3161" w:rsidR="008A7136" w:rsidRPr="002B074F" w:rsidRDefault="00907635" w:rsidP="002B074F">
            <w:pPr>
              <w:pStyle w:val="TableParagraph"/>
              <w:spacing w:line="360" w:lineRule="auto"/>
              <w:rPr>
                <w:lang w:val="en-US"/>
              </w:rPr>
            </w:pPr>
            <w:r w:rsidRPr="002B074F">
              <w:rPr>
                <w:lang w:val="en-US"/>
              </w:rPr>
              <w:t xml:space="preserve">In this </w:t>
            </w:r>
            <w:r w:rsidR="00284043">
              <w:rPr>
                <w:lang w:val="en-US"/>
              </w:rPr>
              <w:t>course</w:t>
            </w:r>
            <w:r w:rsidRPr="002B074F">
              <w:rPr>
                <w:lang w:val="en-US"/>
              </w:rPr>
              <w:t>, it is aimed that students learn about working approaches by bringing together molecular, preclinical, and clinical models of brain functions. In this internship, it is aimed that students can associate these biological models of brain functions with behavioral, affective, and cognitive functions and their disorders.</w:t>
            </w:r>
          </w:p>
        </w:tc>
      </w:tr>
    </w:tbl>
    <w:p w14:paraId="54D28FB1" w14:textId="77777777" w:rsidR="004824B1" w:rsidRPr="002B074F" w:rsidRDefault="004824B1" w:rsidP="002B074F">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4824B1" w:rsidRPr="002B074F" w14:paraId="0F1DB6E6" w14:textId="77777777" w:rsidTr="007D0B3E">
        <w:trPr>
          <w:trHeight w:val="461"/>
        </w:trPr>
        <w:tc>
          <w:tcPr>
            <w:tcW w:w="9997" w:type="dxa"/>
            <w:gridSpan w:val="2"/>
            <w:shd w:val="clear" w:color="auto" w:fill="94B3D6"/>
          </w:tcPr>
          <w:p w14:paraId="2CDF571D" w14:textId="047B42A6" w:rsidR="004824B1" w:rsidRPr="002B074F" w:rsidRDefault="004824B1" w:rsidP="002B074F">
            <w:pPr>
              <w:pStyle w:val="TableParagraph"/>
              <w:spacing w:line="360" w:lineRule="auto"/>
              <w:ind w:right="1608"/>
              <w:rPr>
                <w:b/>
                <w:lang w:val="en-US"/>
              </w:rPr>
            </w:pPr>
            <w:r w:rsidRPr="002B074F">
              <w:rPr>
                <w:b/>
                <w:lang w:val="en-US"/>
              </w:rPr>
              <w:t>LEARNING OBJECTIVE(S)</w:t>
            </w:r>
          </w:p>
        </w:tc>
      </w:tr>
      <w:tr w:rsidR="004824B1" w:rsidRPr="002B074F" w14:paraId="52E741A6" w14:textId="77777777" w:rsidTr="007D0B3E">
        <w:trPr>
          <w:trHeight w:val="482"/>
        </w:trPr>
        <w:tc>
          <w:tcPr>
            <w:tcW w:w="660" w:type="dxa"/>
          </w:tcPr>
          <w:p w14:paraId="01FE5459" w14:textId="77777777" w:rsidR="004824B1" w:rsidRPr="002B074F" w:rsidRDefault="004824B1" w:rsidP="002B074F">
            <w:pPr>
              <w:pStyle w:val="TableParagraph"/>
              <w:spacing w:line="360" w:lineRule="auto"/>
              <w:ind w:left="107"/>
              <w:rPr>
                <w:b/>
                <w:lang w:val="en-US"/>
              </w:rPr>
            </w:pPr>
            <w:r w:rsidRPr="002B074F">
              <w:rPr>
                <w:b/>
                <w:lang w:val="en-US"/>
              </w:rPr>
              <w:t>1</w:t>
            </w:r>
          </w:p>
        </w:tc>
        <w:tc>
          <w:tcPr>
            <w:tcW w:w="9337" w:type="dxa"/>
          </w:tcPr>
          <w:p w14:paraId="14F6960E" w14:textId="2FDD4155" w:rsidR="004824B1" w:rsidRPr="002B074F" w:rsidRDefault="004D17AC" w:rsidP="002B074F">
            <w:pPr>
              <w:pStyle w:val="TableParagraph"/>
              <w:spacing w:line="360" w:lineRule="auto"/>
              <w:ind w:left="0"/>
              <w:rPr>
                <w:lang w:val="en-US"/>
              </w:rPr>
            </w:pPr>
            <w:r w:rsidRPr="002B074F">
              <w:rPr>
                <w:lang w:val="en-US"/>
              </w:rPr>
              <w:t>To be able to explain neuronal communication through resting potential, action potential and neurotransmission</w:t>
            </w:r>
            <w:r w:rsidR="00907635" w:rsidRPr="002B074F">
              <w:rPr>
                <w:lang w:val="en-US"/>
              </w:rPr>
              <w:t>.</w:t>
            </w:r>
          </w:p>
        </w:tc>
      </w:tr>
      <w:tr w:rsidR="004824B1" w:rsidRPr="002B074F" w14:paraId="1199E4B8" w14:textId="77777777" w:rsidTr="007D0B3E">
        <w:trPr>
          <w:trHeight w:val="411"/>
        </w:trPr>
        <w:tc>
          <w:tcPr>
            <w:tcW w:w="660" w:type="dxa"/>
          </w:tcPr>
          <w:p w14:paraId="0CCE4E61" w14:textId="77777777" w:rsidR="004824B1" w:rsidRPr="002B074F" w:rsidRDefault="004824B1" w:rsidP="002B074F">
            <w:pPr>
              <w:pStyle w:val="TableParagraph"/>
              <w:spacing w:line="360" w:lineRule="auto"/>
              <w:ind w:left="107"/>
              <w:rPr>
                <w:b/>
                <w:lang w:val="en-US"/>
              </w:rPr>
            </w:pPr>
            <w:r w:rsidRPr="002B074F">
              <w:rPr>
                <w:b/>
                <w:lang w:val="en-US"/>
              </w:rPr>
              <w:t>2</w:t>
            </w:r>
          </w:p>
        </w:tc>
        <w:tc>
          <w:tcPr>
            <w:tcW w:w="9337" w:type="dxa"/>
          </w:tcPr>
          <w:p w14:paraId="61A1A73E" w14:textId="56202781" w:rsidR="004824B1" w:rsidRPr="002B074F" w:rsidRDefault="005A7B97" w:rsidP="002B074F">
            <w:pPr>
              <w:pStyle w:val="TableParagraph"/>
              <w:spacing w:line="360" w:lineRule="auto"/>
              <w:ind w:left="0"/>
              <w:rPr>
                <w:lang w:val="en-US"/>
              </w:rPr>
            </w:pPr>
            <w:r w:rsidRPr="002B074F">
              <w:rPr>
                <w:lang w:val="en-US"/>
              </w:rPr>
              <w:t>To be able to explain the general organization of the brain</w:t>
            </w:r>
            <w:r w:rsidR="00907635" w:rsidRPr="002B074F">
              <w:rPr>
                <w:lang w:val="en-US"/>
              </w:rPr>
              <w:t>.</w:t>
            </w:r>
          </w:p>
        </w:tc>
      </w:tr>
      <w:tr w:rsidR="004824B1" w:rsidRPr="002B074F" w14:paraId="49CB3A34" w14:textId="77777777" w:rsidTr="007D0B3E">
        <w:trPr>
          <w:trHeight w:val="710"/>
        </w:trPr>
        <w:tc>
          <w:tcPr>
            <w:tcW w:w="660" w:type="dxa"/>
          </w:tcPr>
          <w:p w14:paraId="57E82F99" w14:textId="77777777" w:rsidR="004824B1" w:rsidRPr="002B074F" w:rsidRDefault="004824B1" w:rsidP="002B074F">
            <w:pPr>
              <w:pStyle w:val="TableParagraph"/>
              <w:spacing w:line="360" w:lineRule="auto"/>
              <w:ind w:left="107"/>
              <w:rPr>
                <w:b/>
                <w:lang w:val="en-US"/>
              </w:rPr>
            </w:pPr>
            <w:r w:rsidRPr="002B074F">
              <w:rPr>
                <w:b/>
                <w:lang w:val="en-US"/>
              </w:rPr>
              <w:t>3</w:t>
            </w:r>
          </w:p>
        </w:tc>
        <w:tc>
          <w:tcPr>
            <w:tcW w:w="9337" w:type="dxa"/>
          </w:tcPr>
          <w:p w14:paraId="0176E8BD" w14:textId="2A986099" w:rsidR="004824B1" w:rsidRPr="002B074F" w:rsidRDefault="00805165" w:rsidP="002B074F">
            <w:pPr>
              <w:pStyle w:val="TableParagraph"/>
              <w:spacing w:line="360" w:lineRule="auto"/>
              <w:ind w:left="0"/>
              <w:rPr>
                <w:lang w:val="en-US"/>
              </w:rPr>
            </w:pPr>
            <w:r w:rsidRPr="002B074F">
              <w:rPr>
                <w:lang w:val="en-US"/>
              </w:rPr>
              <w:t>To be able to relate brain organization to cognitive processes (such as visual processing, auditory processing, attention and/or memory) and/or hemispheric specialization</w:t>
            </w:r>
            <w:r w:rsidR="00907635" w:rsidRPr="002B074F">
              <w:rPr>
                <w:lang w:val="en-US"/>
              </w:rPr>
              <w:t>.</w:t>
            </w:r>
          </w:p>
        </w:tc>
      </w:tr>
      <w:tr w:rsidR="004824B1" w:rsidRPr="002B074F" w14:paraId="3B769090" w14:textId="77777777" w:rsidTr="007D0B3E">
        <w:trPr>
          <w:trHeight w:val="692"/>
        </w:trPr>
        <w:tc>
          <w:tcPr>
            <w:tcW w:w="660" w:type="dxa"/>
          </w:tcPr>
          <w:p w14:paraId="1484C8CB" w14:textId="77777777" w:rsidR="004824B1" w:rsidRPr="002B074F" w:rsidRDefault="004824B1" w:rsidP="002B074F">
            <w:pPr>
              <w:pStyle w:val="TableParagraph"/>
              <w:spacing w:line="360" w:lineRule="auto"/>
              <w:ind w:left="107"/>
              <w:rPr>
                <w:b/>
                <w:lang w:val="en-US"/>
              </w:rPr>
            </w:pPr>
            <w:r w:rsidRPr="002B074F">
              <w:rPr>
                <w:b/>
                <w:lang w:val="en-US"/>
              </w:rPr>
              <w:t>4</w:t>
            </w:r>
          </w:p>
        </w:tc>
        <w:tc>
          <w:tcPr>
            <w:tcW w:w="9337" w:type="dxa"/>
          </w:tcPr>
          <w:p w14:paraId="4517C1E7" w14:textId="32BE942A" w:rsidR="004824B1" w:rsidRPr="002B074F" w:rsidRDefault="00805165" w:rsidP="002B074F">
            <w:pPr>
              <w:pStyle w:val="TableParagraph"/>
              <w:spacing w:line="360" w:lineRule="auto"/>
              <w:ind w:left="0"/>
              <w:rPr>
                <w:lang w:val="en-US"/>
              </w:rPr>
            </w:pPr>
            <w:r w:rsidRPr="002B074F">
              <w:rPr>
                <w:lang w:val="en-US"/>
              </w:rPr>
              <w:t>To be able to explain typical and atypical cognitive and emotional processes and the pathological mechanisms underlying common diseases and/or nervous system disorders</w:t>
            </w:r>
            <w:r w:rsidR="00907635" w:rsidRPr="002B074F">
              <w:rPr>
                <w:lang w:val="en-US"/>
              </w:rPr>
              <w:t>.</w:t>
            </w:r>
          </w:p>
        </w:tc>
      </w:tr>
    </w:tbl>
    <w:p w14:paraId="4E94AF64" w14:textId="77777777" w:rsidR="004824B1" w:rsidRPr="002B074F" w:rsidRDefault="004824B1" w:rsidP="002B074F">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4824B1" w:rsidRPr="002B074F" w14:paraId="06DF81D9" w14:textId="77777777" w:rsidTr="007D0B3E">
        <w:trPr>
          <w:trHeight w:val="555"/>
        </w:trPr>
        <w:tc>
          <w:tcPr>
            <w:tcW w:w="9997" w:type="dxa"/>
            <w:gridSpan w:val="2"/>
            <w:shd w:val="clear" w:color="auto" w:fill="94B3D6"/>
          </w:tcPr>
          <w:p w14:paraId="180EB26B" w14:textId="3E4C7439" w:rsidR="004824B1" w:rsidRPr="002B074F" w:rsidRDefault="004824B1" w:rsidP="002B074F">
            <w:pPr>
              <w:pStyle w:val="TableParagraph"/>
              <w:spacing w:line="360" w:lineRule="auto"/>
              <w:ind w:right="1608"/>
              <w:rPr>
                <w:b/>
                <w:lang w:val="en-US"/>
              </w:rPr>
            </w:pPr>
            <w:r w:rsidRPr="002B074F">
              <w:rPr>
                <w:b/>
                <w:lang w:val="en-US"/>
              </w:rPr>
              <w:t>INTENDED LEARNING OUTCOME(S)</w:t>
            </w:r>
          </w:p>
        </w:tc>
      </w:tr>
      <w:tr w:rsidR="00480481" w:rsidRPr="002B074F" w14:paraId="4241BDC1" w14:textId="77777777" w:rsidTr="007D0B3E">
        <w:trPr>
          <w:trHeight w:val="479"/>
        </w:trPr>
        <w:tc>
          <w:tcPr>
            <w:tcW w:w="660" w:type="dxa"/>
          </w:tcPr>
          <w:p w14:paraId="4785268B" w14:textId="77777777" w:rsidR="00480481" w:rsidRPr="002B074F" w:rsidRDefault="00480481" w:rsidP="002B074F">
            <w:pPr>
              <w:pStyle w:val="TableParagraph"/>
              <w:spacing w:line="360" w:lineRule="auto"/>
              <w:ind w:left="107"/>
              <w:rPr>
                <w:b/>
                <w:lang w:val="en-US"/>
              </w:rPr>
            </w:pPr>
            <w:r w:rsidRPr="002B074F">
              <w:rPr>
                <w:b/>
                <w:lang w:val="en-US"/>
              </w:rPr>
              <w:t>1</w:t>
            </w:r>
          </w:p>
        </w:tc>
        <w:tc>
          <w:tcPr>
            <w:tcW w:w="9337" w:type="dxa"/>
          </w:tcPr>
          <w:p w14:paraId="5A246BA0" w14:textId="5446ED24" w:rsidR="00480481" w:rsidRPr="002B074F" w:rsidRDefault="00480481" w:rsidP="002B074F">
            <w:pPr>
              <w:pStyle w:val="TableParagraph"/>
              <w:spacing w:line="360" w:lineRule="auto"/>
              <w:rPr>
                <w:lang w:val="en-US"/>
              </w:rPr>
            </w:pPr>
            <w:r w:rsidRPr="002B074F">
              <w:rPr>
                <w:lang w:val="en-US"/>
              </w:rPr>
              <w:t>Can explain neuronal communication through resting potential, action potential and neurotransmission</w:t>
            </w:r>
            <w:r w:rsidR="00907635" w:rsidRPr="002B074F">
              <w:rPr>
                <w:lang w:val="en-US"/>
              </w:rPr>
              <w:t>.</w:t>
            </w:r>
          </w:p>
        </w:tc>
      </w:tr>
      <w:tr w:rsidR="00480481" w:rsidRPr="002B074F" w14:paraId="65C8CFB2" w14:textId="77777777" w:rsidTr="007D0B3E">
        <w:trPr>
          <w:trHeight w:val="361"/>
        </w:trPr>
        <w:tc>
          <w:tcPr>
            <w:tcW w:w="660" w:type="dxa"/>
          </w:tcPr>
          <w:p w14:paraId="6F196CC7" w14:textId="77777777" w:rsidR="00480481" w:rsidRPr="002B074F" w:rsidRDefault="00480481" w:rsidP="002B074F">
            <w:pPr>
              <w:pStyle w:val="TableParagraph"/>
              <w:spacing w:line="360" w:lineRule="auto"/>
              <w:ind w:left="107"/>
              <w:rPr>
                <w:b/>
                <w:lang w:val="en-US"/>
              </w:rPr>
            </w:pPr>
            <w:r w:rsidRPr="002B074F">
              <w:rPr>
                <w:b/>
                <w:lang w:val="en-US"/>
              </w:rPr>
              <w:t>2</w:t>
            </w:r>
          </w:p>
        </w:tc>
        <w:tc>
          <w:tcPr>
            <w:tcW w:w="9337" w:type="dxa"/>
          </w:tcPr>
          <w:p w14:paraId="3D6EFC10" w14:textId="40046EC5" w:rsidR="00480481" w:rsidRPr="002B074F" w:rsidRDefault="00480481" w:rsidP="002B074F">
            <w:pPr>
              <w:pStyle w:val="TableParagraph"/>
              <w:spacing w:line="360" w:lineRule="auto"/>
              <w:rPr>
                <w:lang w:val="en-US"/>
              </w:rPr>
            </w:pPr>
            <w:r w:rsidRPr="002B074F">
              <w:rPr>
                <w:lang w:val="en-US"/>
              </w:rPr>
              <w:t>Can explain the general organization of the brain</w:t>
            </w:r>
            <w:r w:rsidR="00907635" w:rsidRPr="002B074F">
              <w:rPr>
                <w:lang w:val="en-US"/>
              </w:rPr>
              <w:t>.</w:t>
            </w:r>
          </w:p>
        </w:tc>
      </w:tr>
      <w:tr w:rsidR="00480481" w:rsidRPr="002B074F" w14:paraId="12F198D0" w14:textId="77777777" w:rsidTr="007D0B3E">
        <w:trPr>
          <w:trHeight w:val="803"/>
        </w:trPr>
        <w:tc>
          <w:tcPr>
            <w:tcW w:w="660" w:type="dxa"/>
          </w:tcPr>
          <w:p w14:paraId="63D4D05B" w14:textId="77777777" w:rsidR="00480481" w:rsidRPr="002B074F" w:rsidRDefault="00480481" w:rsidP="002B074F">
            <w:pPr>
              <w:pStyle w:val="TableParagraph"/>
              <w:spacing w:line="360" w:lineRule="auto"/>
              <w:ind w:left="107"/>
              <w:rPr>
                <w:b/>
                <w:lang w:val="en-US"/>
              </w:rPr>
            </w:pPr>
            <w:r w:rsidRPr="002B074F">
              <w:rPr>
                <w:b/>
                <w:lang w:val="en-US"/>
              </w:rPr>
              <w:t>3</w:t>
            </w:r>
          </w:p>
        </w:tc>
        <w:tc>
          <w:tcPr>
            <w:tcW w:w="9337" w:type="dxa"/>
          </w:tcPr>
          <w:p w14:paraId="764A1416" w14:textId="051A5C9A" w:rsidR="00480481" w:rsidRPr="002B074F" w:rsidRDefault="00480481" w:rsidP="002B074F">
            <w:pPr>
              <w:pStyle w:val="TableParagraph"/>
              <w:tabs>
                <w:tab w:val="left" w:pos="1741"/>
                <w:tab w:val="left" w:pos="3588"/>
                <w:tab w:val="left" w:pos="4087"/>
                <w:tab w:val="left" w:pos="5265"/>
                <w:tab w:val="left" w:pos="6807"/>
                <w:tab w:val="left" w:pos="7987"/>
              </w:tabs>
              <w:spacing w:line="360" w:lineRule="auto"/>
              <w:ind w:right="102"/>
              <w:rPr>
                <w:lang w:val="en-US"/>
              </w:rPr>
            </w:pPr>
            <w:r w:rsidRPr="002B074F">
              <w:rPr>
                <w:lang w:val="en-US"/>
              </w:rPr>
              <w:t>Can relate brain organization to cognitive processes (such as visual processing, auditory processing, attention and/or memory) and/or hemispheric specialization</w:t>
            </w:r>
            <w:r w:rsidR="00907635" w:rsidRPr="002B074F">
              <w:rPr>
                <w:lang w:val="en-US"/>
              </w:rPr>
              <w:t>.</w:t>
            </w:r>
          </w:p>
        </w:tc>
      </w:tr>
      <w:tr w:rsidR="00480481" w:rsidRPr="002B074F" w14:paraId="7696F7AC" w14:textId="77777777" w:rsidTr="007D0B3E">
        <w:trPr>
          <w:trHeight w:val="698"/>
        </w:trPr>
        <w:tc>
          <w:tcPr>
            <w:tcW w:w="660" w:type="dxa"/>
          </w:tcPr>
          <w:p w14:paraId="5980311D" w14:textId="77777777" w:rsidR="00480481" w:rsidRPr="002B074F" w:rsidRDefault="00480481" w:rsidP="002B074F">
            <w:pPr>
              <w:pStyle w:val="TableParagraph"/>
              <w:spacing w:line="360" w:lineRule="auto"/>
              <w:ind w:left="107"/>
              <w:rPr>
                <w:b/>
                <w:lang w:val="en-US"/>
              </w:rPr>
            </w:pPr>
            <w:r w:rsidRPr="002B074F">
              <w:rPr>
                <w:b/>
                <w:lang w:val="en-US"/>
              </w:rPr>
              <w:t>4</w:t>
            </w:r>
          </w:p>
        </w:tc>
        <w:tc>
          <w:tcPr>
            <w:tcW w:w="9337" w:type="dxa"/>
          </w:tcPr>
          <w:p w14:paraId="25E8FF4D" w14:textId="5F5F3C09" w:rsidR="00480481" w:rsidRPr="002B074F" w:rsidRDefault="00480481" w:rsidP="002B074F">
            <w:pPr>
              <w:pStyle w:val="TableParagraph"/>
              <w:spacing w:line="360" w:lineRule="auto"/>
              <w:ind w:right="100"/>
              <w:jc w:val="both"/>
              <w:rPr>
                <w:lang w:val="en-US"/>
              </w:rPr>
            </w:pPr>
            <w:r w:rsidRPr="002B074F">
              <w:rPr>
                <w:lang w:val="en-US"/>
              </w:rPr>
              <w:t>Can explain typical and atypical cognitive and emotional processes and the pathological mechanisms underlying common diseases and/or nervous system disorders</w:t>
            </w:r>
            <w:r w:rsidR="00907635" w:rsidRPr="002B074F">
              <w:rPr>
                <w:lang w:val="en-US"/>
              </w:rPr>
              <w:t>.</w:t>
            </w:r>
          </w:p>
        </w:tc>
      </w:tr>
    </w:tbl>
    <w:p w14:paraId="18A8855C" w14:textId="77777777" w:rsidR="004824B1" w:rsidRPr="002B074F" w:rsidRDefault="004824B1" w:rsidP="002B074F">
      <w:pPr>
        <w:spacing w:line="360" w:lineRule="auto"/>
        <w:rPr>
          <w:b/>
          <w:lang w:val="en-US"/>
        </w:rPr>
      </w:pPr>
    </w:p>
    <w:p w14:paraId="1410E846" w14:textId="77777777" w:rsidR="004824B1" w:rsidRPr="002B074F" w:rsidRDefault="004824B1" w:rsidP="002B074F">
      <w:pPr>
        <w:spacing w:line="360" w:lineRule="auto"/>
        <w:rPr>
          <w:b/>
          <w:lang w:val="en-US"/>
        </w:rPr>
      </w:pPr>
    </w:p>
    <w:p w14:paraId="67AB94B4" w14:textId="77777777" w:rsidR="004824B1" w:rsidRPr="002B074F" w:rsidRDefault="004824B1" w:rsidP="002B074F">
      <w:pPr>
        <w:spacing w:line="360" w:lineRule="auto"/>
        <w:jc w:val="both"/>
        <w:rPr>
          <w:lang w:val="en-US"/>
        </w:rPr>
      </w:pPr>
    </w:p>
    <w:p w14:paraId="338C640C" w14:textId="77777777" w:rsidR="004824B1" w:rsidRPr="002B074F" w:rsidRDefault="004824B1" w:rsidP="002B074F">
      <w:pPr>
        <w:spacing w:line="360" w:lineRule="auto"/>
        <w:jc w:val="center"/>
      </w:pPr>
    </w:p>
    <w:sectPr w:rsidR="004824B1" w:rsidRPr="002B074F">
      <w:pgSz w:w="11910" w:h="16840"/>
      <w:pgMar w:top="140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42"/>
    <w:rsid w:val="00151494"/>
    <w:rsid w:val="0017427C"/>
    <w:rsid w:val="00186701"/>
    <w:rsid w:val="00197884"/>
    <w:rsid w:val="001B4502"/>
    <w:rsid w:val="00204A86"/>
    <w:rsid w:val="00260608"/>
    <w:rsid w:val="0026602E"/>
    <w:rsid w:val="002700F2"/>
    <w:rsid w:val="00284043"/>
    <w:rsid w:val="002B074F"/>
    <w:rsid w:val="002D5934"/>
    <w:rsid w:val="002E199F"/>
    <w:rsid w:val="003E7EF6"/>
    <w:rsid w:val="00402E5D"/>
    <w:rsid w:val="0044583C"/>
    <w:rsid w:val="004701A4"/>
    <w:rsid w:val="00480481"/>
    <w:rsid w:val="004824B1"/>
    <w:rsid w:val="004D17AC"/>
    <w:rsid w:val="00541BEB"/>
    <w:rsid w:val="00575B5C"/>
    <w:rsid w:val="005A7B97"/>
    <w:rsid w:val="00610D0E"/>
    <w:rsid w:val="00666D94"/>
    <w:rsid w:val="00680B06"/>
    <w:rsid w:val="006A70B1"/>
    <w:rsid w:val="006B6572"/>
    <w:rsid w:val="00736A56"/>
    <w:rsid w:val="007653BA"/>
    <w:rsid w:val="007700B8"/>
    <w:rsid w:val="007D5ECC"/>
    <w:rsid w:val="007E2DAC"/>
    <w:rsid w:val="00805165"/>
    <w:rsid w:val="00867419"/>
    <w:rsid w:val="008A7136"/>
    <w:rsid w:val="008D4FE6"/>
    <w:rsid w:val="00907635"/>
    <w:rsid w:val="009362B3"/>
    <w:rsid w:val="009533F4"/>
    <w:rsid w:val="00A06142"/>
    <w:rsid w:val="00A9456E"/>
    <w:rsid w:val="00B91F85"/>
    <w:rsid w:val="00BB2136"/>
    <w:rsid w:val="00C8192E"/>
    <w:rsid w:val="00D50FBD"/>
    <w:rsid w:val="00DC7F86"/>
    <w:rsid w:val="00DD6EEE"/>
    <w:rsid w:val="00E53103"/>
    <w:rsid w:val="00E76494"/>
    <w:rsid w:val="00E7663F"/>
    <w:rsid w:val="00EB5BD6"/>
    <w:rsid w:val="00F10755"/>
    <w:rsid w:val="00F22A94"/>
    <w:rsid w:val="00FB7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CA09"/>
  <w15:docId w15:val="{0ACA8723-1837-4449-BC2A-0D93062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MERT KÜÇÜK</cp:lastModifiedBy>
  <cp:revision>55</cp:revision>
  <dcterms:created xsi:type="dcterms:W3CDTF">2022-08-20T18:06:00Z</dcterms:created>
  <dcterms:modified xsi:type="dcterms:W3CDTF">2022-08-25T11:31:00Z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